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0" w:rsidRPr="002607F0" w:rsidRDefault="002607F0" w:rsidP="002607F0">
      <w:pPr>
        <w:spacing w:after="100" w:afterAutospacing="1" w:line="240" w:lineRule="auto"/>
        <w:ind w:left="538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7F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607F0" w:rsidRDefault="002607F0" w:rsidP="0040000D">
      <w:pPr>
        <w:spacing w:after="100" w:afterAutospacing="1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ADA" w:rsidRDefault="000E4ADA" w:rsidP="0040000D">
      <w:pPr>
        <w:spacing w:after="100" w:afterAutospacing="1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A5CDC" w:rsidRDefault="000E4ADA" w:rsidP="0040000D">
      <w:pPr>
        <w:spacing w:after="100" w:afterAutospacing="1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31CD">
        <w:rPr>
          <w:rFonts w:ascii="Times New Roman" w:hAnsi="Times New Roman" w:cs="Times New Roman"/>
          <w:sz w:val="24"/>
          <w:szCs w:val="24"/>
        </w:rPr>
        <w:t xml:space="preserve"> </w:t>
      </w:r>
      <w:r w:rsidR="00B331CD" w:rsidRPr="00D36C2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31CD">
        <w:rPr>
          <w:rFonts w:ascii="Times New Roman" w:hAnsi="Times New Roman" w:cs="Times New Roman"/>
          <w:sz w:val="24"/>
          <w:szCs w:val="24"/>
        </w:rPr>
        <w:t xml:space="preserve"> </w:t>
      </w:r>
      <w:r w:rsidR="00EE6676" w:rsidRPr="00EE6676">
        <w:rPr>
          <w:rFonts w:ascii="Times New Roman" w:hAnsi="Times New Roman" w:cs="Times New Roman"/>
          <w:sz w:val="24"/>
          <w:szCs w:val="24"/>
        </w:rPr>
        <w:t>А</w:t>
      </w:r>
      <w:r w:rsidR="00B331CD" w:rsidRPr="00D36C22">
        <w:rPr>
          <w:rFonts w:ascii="Times New Roman" w:hAnsi="Times New Roman" w:cs="Times New Roman"/>
          <w:sz w:val="24"/>
          <w:szCs w:val="24"/>
        </w:rPr>
        <w:t>дминистрации городского</w:t>
      </w:r>
      <w:r w:rsidR="00B331CD">
        <w:rPr>
          <w:rFonts w:ascii="Times New Roman" w:hAnsi="Times New Roman" w:cs="Times New Roman"/>
          <w:sz w:val="24"/>
          <w:szCs w:val="24"/>
        </w:rPr>
        <w:t xml:space="preserve"> </w:t>
      </w:r>
      <w:r w:rsidR="00BA5CDC">
        <w:rPr>
          <w:rFonts w:ascii="Times New Roman" w:hAnsi="Times New Roman" w:cs="Times New Roman"/>
          <w:sz w:val="24"/>
          <w:szCs w:val="24"/>
        </w:rPr>
        <w:t>поселения</w:t>
      </w:r>
      <w:r w:rsidR="00B331CD" w:rsidRPr="00D36C22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BA5CDC">
        <w:rPr>
          <w:rFonts w:ascii="Times New Roman" w:hAnsi="Times New Roman" w:cs="Times New Roman"/>
          <w:sz w:val="24"/>
          <w:szCs w:val="24"/>
        </w:rPr>
        <w:t>Ишимбай</w:t>
      </w:r>
    </w:p>
    <w:p w:rsidR="00B331CD" w:rsidRPr="00D36C22" w:rsidRDefault="00BA5CDC" w:rsidP="0040000D">
      <w:pPr>
        <w:spacing w:after="100" w:afterAutospacing="1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Ишимбайский район </w:t>
      </w:r>
      <w:r w:rsidR="00B331CD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B331CD" w:rsidRPr="004058DA" w:rsidRDefault="00CC6ED4" w:rsidP="0040000D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4058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632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B331CD"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29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B51990"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331CD" w:rsidRPr="004058D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B331CD" w:rsidRPr="004058D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0C71"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58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058DA"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6329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4058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31CD" w:rsidRPr="00B331CD" w:rsidRDefault="00B331CD" w:rsidP="00495C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31CD" w:rsidRPr="00B331CD" w:rsidRDefault="00131302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D6643">
        <w:rPr>
          <w:rFonts w:ascii="Times New Roman" w:hAnsi="Times New Roman" w:cs="Times New Roman"/>
          <w:b/>
          <w:sz w:val="28"/>
          <w:szCs w:val="28"/>
        </w:rPr>
        <w:t>а</w:t>
      </w:r>
    </w:p>
    <w:p w:rsidR="00AB2874" w:rsidRDefault="00131302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495C37" w:rsidRPr="00495C3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</w:t>
      </w:r>
      <w:r w:rsidR="0046329C">
        <w:rPr>
          <w:rFonts w:ascii="Times New Roman" w:hAnsi="Times New Roman" w:cs="Times New Roman"/>
          <w:b/>
          <w:sz w:val="28"/>
          <w:szCs w:val="28"/>
        </w:rPr>
        <w:t>5</w:t>
      </w:r>
      <w:r w:rsidR="00495C37" w:rsidRPr="00495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C37" w:rsidRDefault="00495C37" w:rsidP="00495C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0A" w:rsidRPr="000A390A" w:rsidRDefault="000A390A" w:rsidP="00495C3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90A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00"/>
      </w:tblGrid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0A390A" w:rsidP="0046329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A5CD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жилищному контролю 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63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0A390A" w:rsidP="0040000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0A390A" w:rsidRPr="000A390A" w:rsidRDefault="000A390A" w:rsidP="0040000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ценностям»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4000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="00702B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702BCE">
              <w:rPr>
                <w:rFonts w:ascii="Times New Roman" w:hAnsi="Times New Roman" w:cs="Times New Roman"/>
                <w:sz w:val="28"/>
                <w:szCs w:val="28"/>
              </w:rPr>
              <w:t xml:space="preserve">Ишимбай муниципальный район Ишимбайский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</w:t>
            </w:r>
            <w:r w:rsidR="00702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A390A" w:rsidRPr="000A390A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A390A" w:rsidRPr="000A390A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00" w:type="dxa"/>
            <w:shd w:val="clear" w:color="auto" w:fill="auto"/>
          </w:tcPr>
          <w:p w:rsidR="00E35E28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5E28" w:rsidRPr="00E35E28">
              <w:rPr>
                <w:rFonts w:ascii="Times New Roman" w:hAnsi="Times New Roman" w:cs="Times New Roman"/>
                <w:sz w:val="28"/>
                <w:szCs w:val="28"/>
              </w:rPr>
              <w:t>предупреждение, выявление и пресечение нарушений обязательных требований</w:t>
            </w:r>
            <w:r w:rsidR="00E35E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4EA" w:rsidRDefault="007E0C71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4EA" w:rsidRPr="00DB74EA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причинению вреда</w:t>
            </w:r>
            <w:r w:rsidR="00DB74EA">
              <w:rPr>
                <w:rFonts w:ascii="Times New Roman" w:hAnsi="Times New Roman" w:cs="Times New Roman"/>
                <w:sz w:val="28"/>
                <w:szCs w:val="28"/>
              </w:rPr>
              <w:t xml:space="preserve"> (ущерба)</w:t>
            </w:r>
            <w:r w:rsidR="00DB74EA" w:rsidRPr="00DB74EA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 и нарушению обязательных требований, определение способов </w:t>
            </w:r>
            <w:r w:rsidR="00DB74EA" w:rsidRPr="00DB7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устранения или снижения рисков их возникновения;</w:t>
            </w:r>
          </w:p>
          <w:p w:rsidR="000A390A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- устранение причин, факторов и условий, способствующих возможному причинению вреда</w:t>
            </w:r>
            <w:r w:rsidR="00DB74EA">
              <w:rPr>
                <w:rFonts w:ascii="Times New Roman" w:hAnsi="Times New Roman" w:cs="Times New Roman"/>
                <w:sz w:val="28"/>
                <w:szCs w:val="28"/>
              </w:rPr>
              <w:t xml:space="preserve"> (ущерба)</w:t>
            </w: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 и нарушению обязательных требований;</w:t>
            </w:r>
          </w:p>
          <w:p w:rsidR="000A390A" w:rsidRPr="000A390A" w:rsidRDefault="000A390A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 – </w:t>
            </w:r>
            <w:r w:rsidR="00E35E28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телекоммуникационных технологий</w:t>
            </w:r>
          </w:p>
        </w:tc>
      </w:tr>
      <w:tr w:rsidR="000A390A" w:rsidRPr="00137F76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E35E28" w:rsidP="0046329C">
            <w:pPr>
              <w:pStyle w:val="a3"/>
              <w:spacing w:after="0" w:line="240" w:lineRule="auto"/>
              <w:ind w:left="0"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E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3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5E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5E28">
              <w:rPr>
                <w:rFonts w:ascii="Times New Roman" w:hAnsi="Times New Roman" w:cs="Times New Roman"/>
                <w:sz w:val="28"/>
                <w:szCs w:val="28"/>
              </w:rPr>
              <w:t xml:space="preserve"> без разделения на этапы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E35E28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</w:t>
            </w:r>
            <w:r w:rsidR="005A6CA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5A6CA4">
              <w:rPr>
                <w:rFonts w:ascii="Times New Roman" w:hAnsi="Times New Roman" w:cs="Times New Roman"/>
                <w:sz w:val="28"/>
                <w:szCs w:val="28"/>
              </w:rPr>
              <w:t>Ишимбай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CA4">
              <w:rPr>
                <w:rFonts w:ascii="Times New Roman" w:hAnsi="Times New Roman" w:cs="Times New Roman"/>
                <w:sz w:val="28"/>
                <w:szCs w:val="28"/>
              </w:rPr>
              <w:t xml:space="preserve">Ишимбайский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Default="00B42817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2817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(ущерба)</w:t>
            </w:r>
            <w:r w:rsidRPr="00B42817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B42817" w:rsidRDefault="00B42817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17">
              <w:rPr>
                <w:rFonts w:ascii="Times New Roman" w:hAnsi="Times New Roman" w:cs="Times New Roman"/>
                <w:sz w:val="28"/>
                <w:szCs w:val="28"/>
              </w:rPr>
              <w:t>- снижение издержек контрольной деятельности и административной нагрузки на контролируемых лиц;</w:t>
            </w:r>
          </w:p>
          <w:p w:rsidR="00B42817" w:rsidRPr="000A390A" w:rsidRDefault="00B42817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281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бходимых мерах по их исполнению</w:t>
            </w:r>
          </w:p>
        </w:tc>
      </w:tr>
      <w:tr w:rsidR="000A390A" w:rsidRPr="00A00B14" w:rsidTr="000A390A">
        <w:tc>
          <w:tcPr>
            <w:tcW w:w="1980" w:type="dxa"/>
            <w:shd w:val="clear" w:color="auto" w:fill="auto"/>
          </w:tcPr>
          <w:p w:rsidR="000A390A" w:rsidRPr="000A390A" w:rsidRDefault="000A390A" w:rsidP="004000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200" w:type="dxa"/>
            <w:shd w:val="clear" w:color="auto" w:fill="auto"/>
          </w:tcPr>
          <w:p w:rsidR="000A390A" w:rsidRPr="000A390A" w:rsidRDefault="00B42817" w:rsidP="004000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17">
              <w:rPr>
                <w:rFonts w:ascii="Times New Roman" w:hAnsi="Times New Roman" w:cs="Times New Roman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:rsidR="000A390A" w:rsidRDefault="000A390A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D4" w:rsidRPr="000A390A" w:rsidRDefault="00B936D4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0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430A6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936D4" w:rsidRDefault="00231B09" w:rsidP="0040000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B936D4">
        <w:rPr>
          <w:rFonts w:ascii="Times New Roman" w:hAnsi="Times New Roman" w:cs="Times New Roman"/>
          <w:sz w:val="28"/>
          <w:szCs w:val="28"/>
        </w:rPr>
        <w:t>ри осуществлении муниципального жилищного контроля основными нарушениями являются:</w:t>
      </w:r>
    </w:p>
    <w:p w:rsidR="00B936D4" w:rsidRDefault="00B936D4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содержание общего имущества собственников помещений в многоквартирном доме;</w:t>
      </w:r>
    </w:p>
    <w:p w:rsidR="00B936D4" w:rsidRDefault="00B936D4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коммунальных услуг ненадлежащего качества;</w:t>
      </w:r>
    </w:p>
    <w:p w:rsidR="00B936D4" w:rsidRDefault="00B936D4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содержания жилых помещений в многоквартирном доме.</w:t>
      </w:r>
    </w:p>
    <w:p w:rsidR="00B936D4" w:rsidRDefault="00B936D4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целях повышения информированности граждан, юридических лиц, осуществляющих деятельность по управлению многоквартирными домами, на официальном сайте Администрации городского </w:t>
      </w:r>
      <w:r w:rsidR="00231B0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231B09">
        <w:rPr>
          <w:rFonts w:ascii="Times New Roman" w:hAnsi="Times New Roman" w:cs="Times New Roman"/>
          <w:sz w:val="28"/>
          <w:szCs w:val="28"/>
        </w:rPr>
        <w:t>Ишимбай муниципального района Ишимбайский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размещены актуальные нормативные правовые акты, </w:t>
      </w:r>
      <w:r w:rsidR="00AB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оценка которых подлежит проверке; руководства по соблюдению обя</w:t>
      </w:r>
      <w:r w:rsidR="00C707D6">
        <w:rPr>
          <w:rFonts w:ascii="Times New Roman" w:hAnsi="Times New Roman" w:cs="Times New Roman"/>
          <w:sz w:val="28"/>
          <w:szCs w:val="28"/>
        </w:rPr>
        <w:t xml:space="preserve">зательных требований жилищного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60BED" w:rsidRDefault="00A746F8" w:rsidP="0040000D">
      <w:pPr>
        <w:spacing w:after="4" w:line="24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6F8">
        <w:rPr>
          <w:rFonts w:ascii="Times New Roman" w:hAnsi="Times New Roman" w:cs="Times New Roman"/>
          <w:sz w:val="28"/>
          <w:szCs w:val="28"/>
        </w:rPr>
        <w:t>1.1. В 202</w:t>
      </w:r>
      <w:r w:rsidR="0046329C">
        <w:rPr>
          <w:rFonts w:ascii="Times New Roman" w:hAnsi="Times New Roman" w:cs="Times New Roman"/>
          <w:sz w:val="28"/>
          <w:szCs w:val="28"/>
        </w:rPr>
        <w:t>4</w:t>
      </w:r>
      <w:r w:rsidRPr="00A746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101E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контроля, направленных</w:t>
      </w:r>
      <w:r w:rsidR="00A60BED">
        <w:rPr>
          <w:rFonts w:ascii="Times New Roman" w:hAnsi="Times New Roman" w:cs="Times New Roman"/>
          <w:sz w:val="28"/>
          <w:szCs w:val="28"/>
        </w:rPr>
        <w:t xml:space="preserve"> на снижение риска причинения вреда (ущерба), стало приоритетным по отношению к проведению контрольных мероприятий. </w:t>
      </w:r>
    </w:p>
    <w:p w:rsidR="00A746F8" w:rsidRPr="00A746F8" w:rsidRDefault="00A60BED" w:rsidP="00A60BED">
      <w:pPr>
        <w:spacing w:after="4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63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следующие виды профилактических мероприятий: информирование, консультирование, объявление предостережений, профилактический визит.</w:t>
      </w:r>
      <w:r w:rsidR="00A746F8" w:rsidRPr="00A7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F8" w:rsidRPr="00A746F8" w:rsidRDefault="00A746F8" w:rsidP="0040000D">
      <w:pPr>
        <w:tabs>
          <w:tab w:val="left" w:pos="709"/>
          <w:tab w:val="left" w:pos="851"/>
          <w:tab w:val="left" w:pos="993"/>
        </w:tabs>
        <w:spacing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6F8"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6F8"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контролируемыми лицами, проведенные в 202</w:t>
      </w:r>
      <w:r w:rsidR="0046329C">
        <w:rPr>
          <w:rFonts w:ascii="Times New Roman" w:hAnsi="Times New Roman" w:cs="Times New Roman"/>
          <w:sz w:val="28"/>
          <w:szCs w:val="28"/>
        </w:rPr>
        <w:t>4</w:t>
      </w:r>
      <w:r w:rsidRPr="00A746F8">
        <w:rPr>
          <w:rFonts w:ascii="Times New Roman" w:hAnsi="Times New Roman" w:cs="Times New Roman"/>
          <w:sz w:val="28"/>
          <w:szCs w:val="28"/>
        </w:rPr>
        <w:t xml:space="preserve"> году: </w:t>
      </w:r>
    </w:p>
    <w:tbl>
      <w:tblPr>
        <w:tblW w:w="974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879"/>
        <w:gridCol w:w="868"/>
      </w:tblGrid>
      <w:tr w:rsidR="00A746F8" w:rsidRPr="00A746F8" w:rsidTr="0040000D">
        <w:trPr>
          <w:trHeight w:val="28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F8" w:rsidRPr="00A746F8" w:rsidRDefault="00A746F8" w:rsidP="00400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мероприятий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F8" w:rsidRPr="00A746F8" w:rsidRDefault="0046329C" w:rsidP="0040000D">
            <w:pPr>
              <w:pStyle w:val="a3"/>
              <w:spacing w:after="0" w:line="240" w:lineRule="auto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A746F8" w:rsidRPr="00A746F8" w:rsidRDefault="00AB2D30" w:rsidP="0040000D">
      <w:pPr>
        <w:spacing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46F8" w:rsidRPr="00A746F8">
        <w:rPr>
          <w:rFonts w:ascii="Times New Roman" w:hAnsi="Times New Roman" w:cs="Times New Roman"/>
          <w:sz w:val="28"/>
          <w:szCs w:val="28"/>
        </w:rPr>
        <w:t>1.1.2</w:t>
      </w:r>
      <w:r w:rsidR="00A746F8">
        <w:rPr>
          <w:rFonts w:ascii="Times New Roman" w:hAnsi="Times New Roman" w:cs="Times New Roman"/>
          <w:sz w:val="28"/>
          <w:szCs w:val="28"/>
        </w:rPr>
        <w:t xml:space="preserve">. </w:t>
      </w:r>
      <w:r w:rsidR="00A746F8" w:rsidRPr="00A746F8">
        <w:rPr>
          <w:rFonts w:ascii="Times New Roman" w:hAnsi="Times New Roman" w:cs="Times New Roman"/>
          <w:sz w:val="28"/>
          <w:szCs w:val="28"/>
        </w:rPr>
        <w:t>Профилактика нарушений в рамках осуществления муниципального контроля, проводимая в 202</w:t>
      </w:r>
      <w:r w:rsidR="0046329C">
        <w:rPr>
          <w:rFonts w:ascii="Times New Roman" w:hAnsi="Times New Roman" w:cs="Times New Roman"/>
          <w:sz w:val="28"/>
          <w:szCs w:val="28"/>
        </w:rPr>
        <w:t>4</w:t>
      </w:r>
      <w:r w:rsidR="00A746F8" w:rsidRPr="00A746F8">
        <w:rPr>
          <w:rFonts w:ascii="Times New Roman" w:hAnsi="Times New Roman" w:cs="Times New Roman"/>
          <w:sz w:val="28"/>
          <w:szCs w:val="28"/>
        </w:rPr>
        <w:t xml:space="preserve">году:  </w:t>
      </w:r>
    </w:p>
    <w:tbl>
      <w:tblPr>
        <w:tblW w:w="9732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8883"/>
        <w:gridCol w:w="849"/>
      </w:tblGrid>
      <w:tr w:rsidR="00A746F8" w:rsidRPr="00A746F8" w:rsidTr="0040000D">
        <w:trPr>
          <w:trHeight w:val="1352"/>
        </w:trPr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F8" w:rsidRPr="00A746F8" w:rsidRDefault="00A746F8" w:rsidP="0040000D">
            <w:pPr>
              <w:spacing w:after="0" w:line="240" w:lineRule="auto"/>
              <w:ind w:righ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всего - по вопросу организации и </w:t>
            </w:r>
            <w:r w:rsidR="004000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существления муниципального контроля; </w:t>
            </w:r>
          </w:p>
          <w:p w:rsidR="00A746F8" w:rsidRPr="00A746F8" w:rsidRDefault="0040000D" w:rsidP="00400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вопросу порядка </w:t>
            </w:r>
            <w:r w:rsidR="00A746F8" w:rsidRPr="00A746F8">
              <w:rPr>
                <w:rFonts w:ascii="Times New Roman" w:hAnsi="Times New Roman" w:cs="Times New Roman"/>
                <w:sz w:val="28"/>
                <w:szCs w:val="28"/>
              </w:rPr>
              <w:t>осуществления профилактических, контро</w:t>
            </w:r>
            <w:r w:rsidR="00AB2D30">
              <w:rPr>
                <w:rFonts w:ascii="Times New Roman" w:hAnsi="Times New Roman" w:cs="Times New Roman"/>
                <w:sz w:val="28"/>
                <w:szCs w:val="28"/>
              </w:rPr>
              <w:t>льных (надзорных) мероприятий)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69F" w:rsidRDefault="0023069F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9F" w:rsidRDefault="0023069F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9F" w:rsidRDefault="0023069F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F8" w:rsidRPr="00A746F8" w:rsidRDefault="0046329C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746F8"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46F8" w:rsidRPr="00A746F8" w:rsidTr="0040000D">
        <w:trPr>
          <w:trHeight w:val="847"/>
        </w:trPr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F8" w:rsidRPr="00A746F8" w:rsidRDefault="00A746F8" w:rsidP="0040000D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предостережений,  из них: </w:t>
            </w:r>
          </w:p>
          <w:p w:rsidR="00A746F8" w:rsidRPr="00A746F8" w:rsidRDefault="00A746F8" w:rsidP="0040000D">
            <w:pPr>
              <w:numPr>
                <w:ilvl w:val="0"/>
                <w:numId w:val="11"/>
              </w:numPr>
              <w:spacing w:after="0" w:line="240" w:lineRule="auto"/>
              <w:ind w:right="41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возражений, из них: </w:t>
            </w:r>
          </w:p>
          <w:p w:rsidR="00A746F8" w:rsidRPr="00A746F8" w:rsidRDefault="00A746F8" w:rsidP="0040000D">
            <w:pPr>
              <w:numPr>
                <w:ilvl w:val="0"/>
                <w:numId w:val="11"/>
              </w:numPr>
              <w:spacing w:after="0" w:line="240" w:lineRule="auto"/>
              <w:ind w:right="41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удовлетворено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F8" w:rsidRPr="00A746F8" w:rsidRDefault="0046329C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0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6F8"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46F8" w:rsidRPr="00A746F8" w:rsidRDefault="00A746F8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  <w:p w:rsidR="00A746F8" w:rsidRPr="00A746F8" w:rsidRDefault="00A746F8" w:rsidP="0040000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6F8" w:rsidRDefault="00A746F8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90A" w:rsidRPr="003F7DEC" w:rsidRDefault="000A390A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DE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1329">
        <w:rPr>
          <w:rFonts w:ascii="Times New Roman" w:hAnsi="Times New Roman" w:cs="Times New Roman"/>
          <w:b/>
          <w:sz w:val="28"/>
          <w:szCs w:val="28"/>
        </w:rPr>
        <w:t>2</w:t>
      </w:r>
      <w:r w:rsidRPr="003F7DEC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3F7DEC" w:rsidRPr="003F7DE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F7DEC">
        <w:rPr>
          <w:rFonts w:ascii="Times New Roman" w:hAnsi="Times New Roman" w:cs="Times New Roman"/>
          <w:b/>
          <w:sz w:val="28"/>
          <w:szCs w:val="28"/>
        </w:rPr>
        <w:t xml:space="preserve"> профилакти</w:t>
      </w:r>
      <w:r w:rsidR="003F7DEC" w:rsidRPr="003F7DEC">
        <w:rPr>
          <w:rFonts w:ascii="Times New Roman" w:hAnsi="Times New Roman" w:cs="Times New Roman"/>
          <w:b/>
          <w:sz w:val="28"/>
          <w:szCs w:val="28"/>
        </w:rPr>
        <w:t>ки</w:t>
      </w:r>
      <w:r w:rsidRPr="003F7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F55" w:rsidRDefault="003F7DEC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DE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F7DEC">
        <w:rPr>
          <w:rFonts w:ascii="Times New Roman" w:hAnsi="Times New Roman" w:cs="Times New Roman"/>
          <w:sz w:val="28"/>
          <w:szCs w:val="28"/>
        </w:rPr>
        <w:t xml:space="preserve"> </w:t>
      </w:r>
      <w:r w:rsidR="00DB4F55">
        <w:rPr>
          <w:rFonts w:ascii="Times New Roman" w:hAnsi="Times New Roman" w:cs="Times New Roman"/>
          <w:sz w:val="28"/>
          <w:szCs w:val="28"/>
        </w:rPr>
        <w:t>п</w:t>
      </w:r>
      <w:r w:rsidRPr="003F7DE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DB4F5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F7DEC" w:rsidRPr="003F7DEC" w:rsidRDefault="00DB4F55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1EE">
        <w:rPr>
          <w:rFonts w:ascii="Times New Roman" w:hAnsi="Times New Roman" w:cs="Times New Roman"/>
          <w:sz w:val="28"/>
          <w:szCs w:val="28"/>
        </w:rPr>
        <w:t xml:space="preserve"> </w:t>
      </w:r>
      <w:r w:rsidR="003F7DEC" w:rsidRPr="003F7DE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F7DEC" w:rsidRPr="003F7DEC" w:rsidRDefault="003F7DEC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DEC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DEC" w:rsidRDefault="003F7DEC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DEC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4F55" w:rsidRDefault="003B51EE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3B51EE">
        <w:rPr>
          <w:rFonts w:ascii="Times New Roman" w:hAnsi="Times New Roman" w:cs="Times New Roman"/>
          <w:sz w:val="28"/>
          <w:szCs w:val="28"/>
        </w:rPr>
        <w:t xml:space="preserve"> </w:t>
      </w:r>
      <w:r w:rsidR="00DB4F55">
        <w:rPr>
          <w:rFonts w:ascii="Times New Roman" w:hAnsi="Times New Roman" w:cs="Times New Roman"/>
          <w:sz w:val="28"/>
          <w:szCs w:val="28"/>
        </w:rPr>
        <w:t>профилактики являются:</w:t>
      </w:r>
    </w:p>
    <w:p w:rsidR="003B51EE" w:rsidRPr="003B51EE" w:rsidRDefault="00DB4F55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1EE" w:rsidRPr="003B51EE">
        <w:rPr>
          <w:rFonts w:ascii="Times New Roman" w:hAnsi="Times New Roman" w:cs="Times New Roman"/>
          <w:sz w:val="28"/>
          <w:szCs w:val="28"/>
        </w:rPr>
        <w:t xml:space="preserve"> предупреждение, выявление и пресечение нарушений обязательных требований;</w:t>
      </w:r>
    </w:p>
    <w:p w:rsidR="003B51EE" w:rsidRPr="003B51EE" w:rsidRDefault="003B51EE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1EE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B51EE" w:rsidRPr="003B51EE" w:rsidRDefault="003B51EE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1EE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F7DEC" w:rsidRPr="003B51EE" w:rsidRDefault="003B51EE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1EE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</w:t>
      </w:r>
      <w:r w:rsidR="00DB4F55">
        <w:rPr>
          <w:rFonts w:ascii="Times New Roman" w:hAnsi="Times New Roman" w:cs="Times New Roman"/>
          <w:sz w:val="28"/>
          <w:szCs w:val="28"/>
        </w:rPr>
        <w:t>-</w:t>
      </w:r>
      <w:r w:rsidRPr="003B51EE">
        <w:rPr>
          <w:rFonts w:ascii="Times New Roman" w:hAnsi="Times New Roman" w:cs="Times New Roman"/>
          <w:sz w:val="28"/>
          <w:szCs w:val="28"/>
        </w:rPr>
        <w:t>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DEC" w:rsidRDefault="003F7DEC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90A" w:rsidRDefault="000A390A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E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1329">
        <w:rPr>
          <w:rFonts w:ascii="Times New Roman" w:hAnsi="Times New Roman" w:cs="Times New Roman"/>
          <w:b/>
          <w:sz w:val="28"/>
          <w:szCs w:val="28"/>
        </w:rPr>
        <w:t>3</w:t>
      </w:r>
      <w:r w:rsidRPr="003B51EE">
        <w:rPr>
          <w:rFonts w:ascii="Times New Roman" w:hAnsi="Times New Roman" w:cs="Times New Roman"/>
          <w:b/>
          <w:sz w:val="28"/>
          <w:szCs w:val="28"/>
        </w:rPr>
        <w:t>. Перечень про</w:t>
      </w:r>
      <w:r w:rsidR="003B51EE" w:rsidRPr="003B51EE">
        <w:rPr>
          <w:rFonts w:ascii="Times New Roman" w:hAnsi="Times New Roman" w:cs="Times New Roman"/>
          <w:b/>
          <w:sz w:val="28"/>
          <w:szCs w:val="28"/>
        </w:rPr>
        <w:t>филактических</w:t>
      </w:r>
      <w:r w:rsidRPr="003B51EE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  <w:r w:rsidR="003B51EE" w:rsidRPr="003B51EE">
        <w:rPr>
          <w:rFonts w:ascii="Times New Roman" w:hAnsi="Times New Roman" w:cs="Times New Roman"/>
          <w:b/>
          <w:sz w:val="28"/>
          <w:szCs w:val="28"/>
        </w:rPr>
        <w:t>срок</w:t>
      </w:r>
      <w:r w:rsidR="00EA5356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36"/>
        <w:gridCol w:w="2619"/>
        <w:gridCol w:w="3970"/>
        <w:gridCol w:w="2409"/>
      </w:tblGrid>
      <w:tr w:rsidR="00DF1EB4" w:rsidTr="00DF1EB4">
        <w:tc>
          <w:tcPr>
            <w:tcW w:w="636" w:type="dxa"/>
            <w:vAlign w:val="center"/>
          </w:tcPr>
          <w:p w:rsidR="00DF1EB4" w:rsidRDefault="000A390A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F1E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DF1E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F1E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9" w:type="dxa"/>
            <w:vAlign w:val="center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3970" w:type="dxa"/>
            <w:vAlign w:val="center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F1EB4" w:rsidTr="00DF1EB4">
        <w:tc>
          <w:tcPr>
            <w:tcW w:w="636" w:type="dxa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970" w:type="dxa"/>
          </w:tcPr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DF1EB4" w:rsidRDefault="002A0146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</w:tr>
      <w:tr w:rsidR="00DF1EB4" w:rsidTr="00DF1EB4">
        <w:tc>
          <w:tcPr>
            <w:tcW w:w="636" w:type="dxa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F1EB4" w:rsidRDefault="002139B6" w:rsidP="002139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3D25CF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9" w:type="dxa"/>
          </w:tcPr>
          <w:p w:rsidR="00DF1EB4" w:rsidRDefault="002A0146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</w:tr>
      <w:tr w:rsidR="00DF1EB4" w:rsidTr="00DF1EB4">
        <w:tc>
          <w:tcPr>
            <w:tcW w:w="636" w:type="dxa"/>
          </w:tcPr>
          <w:p w:rsidR="00DF1EB4" w:rsidRDefault="00DF1EB4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DF1EB4" w:rsidRPr="001A51BE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</w:tcPr>
          <w:p w:rsidR="00DF1EB4" w:rsidRDefault="00DF1EB4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DF1EB4" w:rsidRDefault="002A0146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</w:tr>
    </w:tbl>
    <w:p w:rsidR="00DF1EB4" w:rsidRDefault="00DF1EB4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03068">
        <w:rPr>
          <w:rFonts w:ascii="Times New Roman" w:hAnsi="Times New Roman" w:cs="Times New Roman"/>
          <w:sz w:val="28"/>
          <w:szCs w:val="28"/>
        </w:rPr>
        <w:t xml:space="preserve">городского поселения город Ишимбай муниципального района Ишимбайский район Республики Башкортостан </w:t>
      </w:r>
      <w:r w:rsidRPr="003D25CF">
        <w:rPr>
          <w:rFonts w:ascii="Times New Roman" w:hAnsi="Times New Roman" w:cs="Times New Roman"/>
          <w:sz w:val="28"/>
          <w:szCs w:val="28"/>
        </w:rPr>
        <w:t>в сети "Интернет" следующей информации: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программу профилактики рисков причинения вреда и план проведения плановых контрольных мероприятий органом муниципального жилищного контроля (при проведении таких мероприятий);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6) исчерпывающий перечень сведений, которые могут запрашиваться органом муниципального жилищного контроля у контролируемого лица;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5CF">
        <w:rPr>
          <w:rFonts w:ascii="Times New Roman" w:hAnsi="Times New Roman" w:cs="Times New Roman"/>
          <w:sz w:val="28"/>
          <w:szCs w:val="28"/>
        </w:rPr>
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органа муниципального жилищного контроля;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2139B6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сведений. 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00C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контрольного (надзорного) органа обязано соблюдать конфиденциальность информации, </w:t>
      </w:r>
      <w:r w:rsidRPr="002B300C">
        <w:rPr>
          <w:rFonts w:ascii="Times New Roman" w:hAnsi="Times New Roman" w:cs="Times New Roman"/>
          <w:sz w:val="28"/>
          <w:szCs w:val="28"/>
        </w:rPr>
        <w:lastRenderedPageBreak/>
        <w:t>доступ к которой ограничен в соответствии с законодательством Российской Федерации.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2139B6" w:rsidRPr="003D25CF" w:rsidRDefault="002139B6" w:rsidP="00213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02.05.2006 № 59-ФЗ "О порядке рассмотрения обращений граждан Российской Федерации".</w:t>
      </w:r>
    </w:p>
    <w:p w:rsidR="002139B6" w:rsidRDefault="002139B6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56" w:rsidRPr="00EA5356" w:rsidRDefault="00EA5356" w:rsidP="004000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51E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13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B10875" w:rsidRDefault="00B10875" w:rsidP="00B10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5CF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жилищного контроля входят:</w:t>
      </w:r>
    </w:p>
    <w:p w:rsidR="00B10875" w:rsidRPr="00F92D51" w:rsidRDefault="00B10875" w:rsidP="00B10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63B">
        <w:rPr>
          <w:rFonts w:ascii="Times New Roman" w:hAnsi="Times New Roman"/>
          <w:sz w:val="28"/>
          <w:szCs w:val="28"/>
        </w:rPr>
        <w:t>1) ключевые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B10875" w:rsidRDefault="00B10875" w:rsidP="00B10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5CF">
        <w:rPr>
          <w:rFonts w:ascii="Times New Roman" w:hAnsi="Times New Roman"/>
          <w:sz w:val="28"/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B1DF0" w:rsidRDefault="00CB1DF0" w:rsidP="0040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B0516B" w:rsidTr="00B0516B">
        <w:tc>
          <w:tcPr>
            <w:tcW w:w="704" w:type="dxa"/>
            <w:vAlign w:val="center"/>
          </w:tcPr>
          <w:p w:rsidR="00B0516B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4" w:type="dxa"/>
            <w:vAlign w:val="center"/>
          </w:tcPr>
          <w:p w:rsidR="00B0516B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10" w:type="dxa"/>
            <w:vAlign w:val="center"/>
          </w:tcPr>
          <w:p w:rsidR="00B0516B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B0516B" w:rsidTr="00B0516B">
        <w:tc>
          <w:tcPr>
            <w:tcW w:w="704" w:type="dxa"/>
            <w:vAlign w:val="center"/>
          </w:tcPr>
          <w:p w:rsidR="00B0516B" w:rsidRPr="00343279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  <w:vAlign w:val="center"/>
          </w:tcPr>
          <w:p w:rsidR="00B0516B" w:rsidRPr="00343279" w:rsidRDefault="00343279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/>
                <w:sz w:val="28"/>
                <w:szCs w:val="28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3210" w:type="dxa"/>
            <w:vAlign w:val="center"/>
          </w:tcPr>
          <w:p w:rsidR="00B0516B" w:rsidRPr="00343279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 w:cs="Times New Roman"/>
                <w:sz w:val="28"/>
                <w:szCs w:val="28"/>
              </w:rPr>
              <w:t>Не менее 50 %</w:t>
            </w:r>
          </w:p>
        </w:tc>
      </w:tr>
      <w:tr w:rsidR="00B0516B" w:rsidTr="00B0516B">
        <w:tc>
          <w:tcPr>
            <w:tcW w:w="704" w:type="dxa"/>
            <w:vAlign w:val="center"/>
          </w:tcPr>
          <w:p w:rsidR="00B0516B" w:rsidRPr="00343279" w:rsidRDefault="00B0516B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  <w:vAlign w:val="center"/>
          </w:tcPr>
          <w:p w:rsidR="00B0516B" w:rsidRPr="00343279" w:rsidRDefault="00343279" w:rsidP="004000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/>
                <w:sz w:val="28"/>
                <w:szCs w:val="28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3210" w:type="dxa"/>
            <w:vAlign w:val="center"/>
          </w:tcPr>
          <w:p w:rsidR="00B0516B" w:rsidRPr="00343279" w:rsidRDefault="00343279" w:rsidP="004000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9">
              <w:rPr>
                <w:rFonts w:ascii="Times New Roman" w:hAnsi="Times New Roman" w:cs="Times New Roman"/>
                <w:sz w:val="28"/>
                <w:szCs w:val="28"/>
              </w:rPr>
              <w:t>Не менее 50 %</w:t>
            </w:r>
          </w:p>
        </w:tc>
      </w:tr>
    </w:tbl>
    <w:p w:rsidR="00B0516B" w:rsidRPr="000A390A" w:rsidRDefault="00B0516B" w:rsidP="00DB4F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5A9" w:rsidRDefault="0043221E" w:rsidP="00B96220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B96220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02ED0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B962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ED0">
        <w:rPr>
          <w:rFonts w:ascii="Times New Roman" w:hAnsi="Times New Roman" w:cs="Times New Roman"/>
          <w:sz w:val="28"/>
          <w:szCs w:val="28"/>
        </w:rPr>
        <w:t xml:space="preserve">                                   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2ED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2ED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25A9" w:rsidSect="003A6B6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00" w:rsidRDefault="005D6300" w:rsidP="00FF2345">
      <w:pPr>
        <w:spacing w:after="0" w:line="240" w:lineRule="auto"/>
      </w:pPr>
      <w:r>
        <w:separator/>
      </w:r>
    </w:p>
  </w:endnote>
  <w:endnote w:type="continuationSeparator" w:id="0">
    <w:p w:rsidR="005D6300" w:rsidRDefault="005D6300" w:rsidP="00FF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00" w:rsidRDefault="005D6300" w:rsidP="00FF2345">
      <w:pPr>
        <w:spacing w:after="0" w:line="240" w:lineRule="auto"/>
      </w:pPr>
      <w:r>
        <w:separator/>
      </w:r>
    </w:p>
  </w:footnote>
  <w:footnote w:type="continuationSeparator" w:id="0">
    <w:p w:rsidR="005D6300" w:rsidRDefault="005D6300" w:rsidP="00FF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5128"/>
      <w:docPartObj>
        <w:docPartGallery w:val="Page Numbers (Top of Page)"/>
        <w:docPartUnique/>
      </w:docPartObj>
    </w:sdtPr>
    <w:sdtEndPr/>
    <w:sdtContent>
      <w:p w:rsidR="00F61BE7" w:rsidRDefault="00F61B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F0">
          <w:rPr>
            <w:noProof/>
          </w:rPr>
          <w:t>6</w:t>
        </w:r>
        <w:r>
          <w:fldChar w:fldCharType="end"/>
        </w:r>
      </w:p>
    </w:sdtContent>
  </w:sdt>
  <w:p w:rsidR="00F61BE7" w:rsidRDefault="00F61B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45" w:rsidRDefault="00A95943" w:rsidP="00FF2345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B37"/>
    <w:multiLevelType w:val="hybridMultilevel"/>
    <w:tmpl w:val="396E91F4"/>
    <w:lvl w:ilvl="0" w:tplc="329251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E21966"/>
    <w:multiLevelType w:val="hybridMultilevel"/>
    <w:tmpl w:val="DB48135A"/>
    <w:lvl w:ilvl="0" w:tplc="222A2C82">
      <w:start w:val="1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768280B"/>
    <w:multiLevelType w:val="hybridMultilevel"/>
    <w:tmpl w:val="7AA0E6E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A46"/>
    <w:multiLevelType w:val="multilevel"/>
    <w:tmpl w:val="656C76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3471B9D"/>
    <w:multiLevelType w:val="multilevel"/>
    <w:tmpl w:val="2D489E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07C53EC"/>
    <w:multiLevelType w:val="hybridMultilevel"/>
    <w:tmpl w:val="83C82960"/>
    <w:lvl w:ilvl="0" w:tplc="976EB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E98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841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633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E47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855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94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EA1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F8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062B9"/>
    <w:multiLevelType w:val="hybridMultilevel"/>
    <w:tmpl w:val="7AA0E6E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929"/>
    <w:multiLevelType w:val="multilevel"/>
    <w:tmpl w:val="3A18F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BB87A2F"/>
    <w:multiLevelType w:val="multilevel"/>
    <w:tmpl w:val="2D489E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A3D0533"/>
    <w:multiLevelType w:val="multilevel"/>
    <w:tmpl w:val="7BE4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B2F452F"/>
    <w:multiLevelType w:val="multilevel"/>
    <w:tmpl w:val="F5127B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231210B"/>
    <w:multiLevelType w:val="multilevel"/>
    <w:tmpl w:val="AF90D0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CD"/>
    <w:rsid w:val="00012EEF"/>
    <w:rsid w:val="00020E6C"/>
    <w:rsid w:val="000264CC"/>
    <w:rsid w:val="0003346B"/>
    <w:rsid w:val="000450C7"/>
    <w:rsid w:val="00056D3F"/>
    <w:rsid w:val="00077511"/>
    <w:rsid w:val="000A1169"/>
    <w:rsid w:val="000A390A"/>
    <w:rsid w:val="000A409D"/>
    <w:rsid w:val="000A5C78"/>
    <w:rsid w:val="000B101E"/>
    <w:rsid w:val="000B2BC7"/>
    <w:rsid w:val="000B30C8"/>
    <w:rsid w:val="000C020F"/>
    <w:rsid w:val="000E1351"/>
    <w:rsid w:val="000E4ADA"/>
    <w:rsid w:val="00114FDC"/>
    <w:rsid w:val="00115CD4"/>
    <w:rsid w:val="0011763F"/>
    <w:rsid w:val="00124E1F"/>
    <w:rsid w:val="00131302"/>
    <w:rsid w:val="00144916"/>
    <w:rsid w:val="00153E11"/>
    <w:rsid w:val="00173BFD"/>
    <w:rsid w:val="00183864"/>
    <w:rsid w:val="00184D4E"/>
    <w:rsid w:val="001A2C80"/>
    <w:rsid w:val="001A51BE"/>
    <w:rsid w:val="001B2E0C"/>
    <w:rsid w:val="001E0CBE"/>
    <w:rsid w:val="001F741B"/>
    <w:rsid w:val="002045A4"/>
    <w:rsid w:val="002139B6"/>
    <w:rsid w:val="00227CC1"/>
    <w:rsid w:val="0023069F"/>
    <w:rsid w:val="00231B09"/>
    <w:rsid w:val="0023454F"/>
    <w:rsid w:val="002349A0"/>
    <w:rsid w:val="002356CA"/>
    <w:rsid w:val="00240CD8"/>
    <w:rsid w:val="002607F0"/>
    <w:rsid w:val="00263B00"/>
    <w:rsid w:val="00263E46"/>
    <w:rsid w:val="00267864"/>
    <w:rsid w:val="00270246"/>
    <w:rsid w:val="00272857"/>
    <w:rsid w:val="002744BB"/>
    <w:rsid w:val="002824BE"/>
    <w:rsid w:val="00287828"/>
    <w:rsid w:val="002A0146"/>
    <w:rsid w:val="002B08CA"/>
    <w:rsid w:val="002C214F"/>
    <w:rsid w:val="002E0371"/>
    <w:rsid w:val="002E2243"/>
    <w:rsid w:val="002F1C04"/>
    <w:rsid w:val="0030017E"/>
    <w:rsid w:val="00305A2B"/>
    <w:rsid w:val="0031260C"/>
    <w:rsid w:val="00315DE6"/>
    <w:rsid w:val="00316749"/>
    <w:rsid w:val="00326085"/>
    <w:rsid w:val="0033786F"/>
    <w:rsid w:val="00343279"/>
    <w:rsid w:val="00344B46"/>
    <w:rsid w:val="00344D34"/>
    <w:rsid w:val="00352904"/>
    <w:rsid w:val="00360CEB"/>
    <w:rsid w:val="003666B6"/>
    <w:rsid w:val="003806B6"/>
    <w:rsid w:val="003A6B6D"/>
    <w:rsid w:val="003B4CAE"/>
    <w:rsid w:val="003B51EE"/>
    <w:rsid w:val="003C50EB"/>
    <w:rsid w:val="003D387E"/>
    <w:rsid w:val="003D3C18"/>
    <w:rsid w:val="003D483E"/>
    <w:rsid w:val="003F517D"/>
    <w:rsid w:val="003F7DD1"/>
    <w:rsid w:val="003F7DEC"/>
    <w:rsid w:val="0040000D"/>
    <w:rsid w:val="00403BD6"/>
    <w:rsid w:val="004058DA"/>
    <w:rsid w:val="00405BE4"/>
    <w:rsid w:val="00410DE8"/>
    <w:rsid w:val="0041162F"/>
    <w:rsid w:val="00415A63"/>
    <w:rsid w:val="00430A66"/>
    <w:rsid w:val="0043221E"/>
    <w:rsid w:val="00433B8E"/>
    <w:rsid w:val="00434262"/>
    <w:rsid w:val="004457E0"/>
    <w:rsid w:val="004535BE"/>
    <w:rsid w:val="00462882"/>
    <w:rsid w:val="0046329C"/>
    <w:rsid w:val="00495C37"/>
    <w:rsid w:val="004A312C"/>
    <w:rsid w:val="004E2845"/>
    <w:rsid w:val="004E2A27"/>
    <w:rsid w:val="004F38F0"/>
    <w:rsid w:val="004F39B0"/>
    <w:rsid w:val="004F75AD"/>
    <w:rsid w:val="005170C2"/>
    <w:rsid w:val="0052621E"/>
    <w:rsid w:val="0054035A"/>
    <w:rsid w:val="00544AEA"/>
    <w:rsid w:val="00572F6C"/>
    <w:rsid w:val="00581503"/>
    <w:rsid w:val="00596CA6"/>
    <w:rsid w:val="005A6963"/>
    <w:rsid w:val="005A6CA4"/>
    <w:rsid w:val="005A77EA"/>
    <w:rsid w:val="005B245C"/>
    <w:rsid w:val="005D6300"/>
    <w:rsid w:val="005E292A"/>
    <w:rsid w:val="005E72C8"/>
    <w:rsid w:val="005F131A"/>
    <w:rsid w:val="005F31F1"/>
    <w:rsid w:val="0061133D"/>
    <w:rsid w:val="00621116"/>
    <w:rsid w:val="00627019"/>
    <w:rsid w:val="00634BC0"/>
    <w:rsid w:val="00651B80"/>
    <w:rsid w:val="00653A9C"/>
    <w:rsid w:val="00657198"/>
    <w:rsid w:val="00681976"/>
    <w:rsid w:val="00686934"/>
    <w:rsid w:val="00695A00"/>
    <w:rsid w:val="006B1D1F"/>
    <w:rsid w:val="006B3C25"/>
    <w:rsid w:val="006B57B5"/>
    <w:rsid w:val="006C4B3D"/>
    <w:rsid w:val="006D44B3"/>
    <w:rsid w:val="006E36A4"/>
    <w:rsid w:val="006E4204"/>
    <w:rsid w:val="00702BCE"/>
    <w:rsid w:val="00713B82"/>
    <w:rsid w:val="00725D84"/>
    <w:rsid w:val="007264E6"/>
    <w:rsid w:val="00754FD6"/>
    <w:rsid w:val="00762BCF"/>
    <w:rsid w:val="007674F6"/>
    <w:rsid w:val="007772F7"/>
    <w:rsid w:val="007875A9"/>
    <w:rsid w:val="00793FDF"/>
    <w:rsid w:val="007B77EE"/>
    <w:rsid w:val="007D3284"/>
    <w:rsid w:val="007D3840"/>
    <w:rsid w:val="007D6643"/>
    <w:rsid w:val="007E0C71"/>
    <w:rsid w:val="007E78F9"/>
    <w:rsid w:val="007F20ED"/>
    <w:rsid w:val="007F442F"/>
    <w:rsid w:val="007F6B7B"/>
    <w:rsid w:val="00826F7C"/>
    <w:rsid w:val="00840154"/>
    <w:rsid w:val="008543CD"/>
    <w:rsid w:val="008773C2"/>
    <w:rsid w:val="00877459"/>
    <w:rsid w:val="00895D62"/>
    <w:rsid w:val="008B13DD"/>
    <w:rsid w:val="008B1D84"/>
    <w:rsid w:val="008B6FEC"/>
    <w:rsid w:val="008C60A9"/>
    <w:rsid w:val="008D16EE"/>
    <w:rsid w:val="008D55D6"/>
    <w:rsid w:val="009040EE"/>
    <w:rsid w:val="00915340"/>
    <w:rsid w:val="009168D5"/>
    <w:rsid w:val="0092023B"/>
    <w:rsid w:val="00927366"/>
    <w:rsid w:val="0093591B"/>
    <w:rsid w:val="009433EE"/>
    <w:rsid w:val="0094618F"/>
    <w:rsid w:val="009478D2"/>
    <w:rsid w:val="009504D3"/>
    <w:rsid w:val="00951DC7"/>
    <w:rsid w:val="0095282A"/>
    <w:rsid w:val="00956172"/>
    <w:rsid w:val="0096078C"/>
    <w:rsid w:val="00963FE3"/>
    <w:rsid w:val="00970DF7"/>
    <w:rsid w:val="00977929"/>
    <w:rsid w:val="00985206"/>
    <w:rsid w:val="009979AB"/>
    <w:rsid w:val="009B0B47"/>
    <w:rsid w:val="009C7360"/>
    <w:rsid w:val="00A024A2"/>
    <w:rsid w:val="00A02A9E"/>
    <w:rsid w:val="00A0301D"/>
    <w:rsid w:val="00A44A73"/>
    <w:rsid w:val="00A472C3"/>
    <w:rsid w:val="00A529DB"/>
    <w:rsid w:val="00A60BED"/>
    <w:rsid w:val="00A738C5"/>
    <w:rsid w:val="00A746F8"/>
    <w:rsid w:val="00A8239C"/>
    <w:rsid w:val="00A8602E"/>
    <w:rsid w:val="00A875A9"/>
    <w:rsid w:val="00A94C44"/>
    <w:rsid w:val="00A95943"/>
    <w:rsid w:val="00A95EF4"/>
    <w:rsid w:val="00AA4204"/>
    <w:rsid w:val="00AB2874"/>
    <w:rsid w:val="00AB2D30"/>
    <w:rsid w:val="00AB60F2"/>
    <w:rsid w:val="00AC6F9D"/>
    <w:rsid w:val="00AC761E"/>
    <w:rsid w:val="00AE139F"/>
    <w:rsid w:val="00AE6187"/>
    <w:rsid w:val="00B0516B"/>
    <w:rsid w:val="00B07EB4"/>
    <w:rsid w:val="00B10875"/>
    <w:rsid w:val="00B17D61"/>
    <w:rsid w:val="00B231EA"/>
    <w:rsid w:val="00B331CD"/>
    <w:rsid w:val="00B42817"/>
    <w:rsid w:val="00B43951"/>
    <w:rsid w:val="00B51990"/>
    <w:rsid w:val="00B5344A"/>
    <w:rsid w:val="00B5789B"/>
    <w:rsid w:val="00B613E8"/>
    <w:rsid w:val="00B660BA"/>
    <w:rsid w:val="00B77E40"/>
    <w:rsid w:val="00B8476A"/>
    <w:rsid w:val="00B91BA4"/>
    <w:rsid w:val="00B936D4"/>
    <w:rsid w:val="00B96220"/>
    <w:rsid w:val="00BA3B8E"/>
    <w:rsid w:val="00BA5CDC"/>
    <w:rsid w:val="00BB7C46"/>
    <w:rsid w:val="00BC2285"/>
    <w:rsid w:val="00BC3353"/>
    <w:rsid w:val="00BC5838"/>
    <w:rsid w:val="00BD00C9"/>
    <w:rsid w:val="00BD79F6"/>
    <w:rsid w:val="00BF6C28"/>
    <w:rsid w:val="00C07A67"/>
    <w:rsid w:val="00C07B0C"/>
    <w:rsid w:val="00C200DA"/>
    <w:rsid w:val="00C32322"/>
    <w:rsid w:val="00C707D6"/>
    <w:rsid w:val="00C73A59"/>
    <w:rsid w:val="00C81329"/>
    <w:rsid w:val="00C96EEC"/>
    <w:rsid w:val="00CA032E"/>
    <w:rsid w:val="00CA04F7"/>
    <w:rsid w:val="00CB1DF0"/>
    <w:rsid w:val="00CB4274"/>
    <w:rsid w:val="00CC0681"/>
    <w:rsid w:val="00CC6ED4"/>
    <w:rsid w:val="00CC7C4B"/>
    <w:rsid w:val="00CD56E3"/>
    <w:rsid w:val="00CD7C22"/>
    <w:rsid w:val="00CE254D"/>
    <w:rsid w:val="00CF0770"/>
    <w:rsid w:val="00CF5447"/>
    <w:rsid w:val="00D02ED0"/>
    <w:rsid w:val="00D437F1"/>
    <w:rsid w:val="00D43F9D"/>
    <w:rsid w:val="00D56D07"/>
    <w:rsid w:val="00D61789"/>
    <w:rsid w:val="00D749FC"/>
    <w:rsid w:val="00D87842"/>
    <w:rsid w:val="00DA0598"/>
    <w:rsid w:val="00DA2C12"/>
    <w:rsid w:val="00DA7454"/>
    <w:rsid w:val="00DB4F55"/>
    <w:rsid w:val="00DB74EA"/>
    <w:rsid w:val="00DC051A"/>
    <w:rsid w:val="00DC6C23"/>
    <w:rsid w:val="00DE7F12"/>
    <w:rsid w:val="00DF1EB4"/>
    <w:rsid w:val="00DF30E0"/>
    <w:rsid w:val="00DF36E9"/>
    <w:rsid w:val="00E0262D"/>
    <w:rsid w:val="00E2012A"/>
    <w:rsid w:val="00E21B17"/>
    <w:rsid w:val="00E261CB"/>
    <w:rsid w:val="00E35122"/>
    <w:rsid w:val="00E35E28"/>
    <w:rsid w:val="00E448CE"/>
    <w:rsid w:val="00E45E5E"/>
    <w:rsid w:val="00E54673"/>
    <w:rsid w:val="00E5651A"/>
    <w:rsid w:val="00E64DAD"/>
    <w:rsid w:val="00E76318"/>
    <w:rsid w:val="00E815B3"/>
    <w:rsid w:val="00E86B65"/>
    <w:rsid w:val="00EA3ABE"/>
    <w:rsid w:val="00EA5356"/>
    <w:rsid w:val="00EB1601"/>
    <w:rsid w:val="00EB22DD"/>
    <w:rsid w:val="00EC060C"/>
    <w:rsid w:val="00EC451E"/>
    <w:rsid w:val="00EC5697"/>
    <w:rsid w:val="00EE6676"/>
    <w:rsid w:val="00EF3F57"/>
    <w:rsid w:val="00F0706B"/>
    <w:rsid w:val="00F2580F"/>
    <w:rsid w:val="00F3309E"/>
    <w:rsid w:val="00F35624"/>
    <w:rsid w:val="00F46E09"/>
    <w:rsid w:val="00F61BE7"/>
    <w:rsid w:val="00F62D7E"/>
    <w:rsid w:val="00F67312"/>
    <w:rsid w:val="00F67FE8"/>
    <w:rsid w:val="00F73EAA"/>
    <w:rsid w:val="00F746CD"/>
    <w:rsid w:val="00F76AD0"/>
    <w:rsid w:val="00F825A9"/>
    <w:rsid w:val="00F9739A"/>
    <w:rsid w:val="00FA3B1A"/>
    <w:rsid w:val="00FA5023"/>
    <w:rsid w:val="00FB141F"/>
    <w:rsid w:val="00FD2DA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3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32322"/>
    <w:pPr>
      <w:ind w:left="720"/>
      <w:contextualSpacing/>
    </w:pPr>
  </w:style>
  <w:style w:type="table" w:styleId="a5">
    <w:name w:val="Table Grid"/>
    <w:basedOn w:val="a1"/>
    <w:uiPriority w:val="59"/>
    <w:rsid w:val="00434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17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345"/>
  </w:style>
  <w:style w:type="paragraph" w:styleId="aa">
    <w:name w:val="footer"/>
    <w:basedOn w:val="a"/>
    <w:link w:val="ab"/>
    <w:uiPriority w:val="99"/>
    <w:unhideWhenUsed/>
    <w:rsid w:val="00FF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345"/>
  </w:style>
  <w:style w:type="character" w:customStyle="1" w:styleId="a4">
    <w:name w:val="Абзац списка Знак"/>
    <w:basedOn w:val="a0"/>
    <w:link w:val="a3"/>
    <w:uiPriority w:val="34"/>
    <w:locked/>
    <w:rsid w:val="00B10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3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32322"/>
    <w:pPr>
      <w:ind w:left="720"/>
      <w:contextualSpacing/>
    </w:pPr>
  </w:style>
  <w:style w:type="table" w:styleId="a5">
    <w:name w:val="Table Grid"/>
    <w:basedOn w:val="a1"/>
    <w:uiPriority w:val="59"/>
    <w:rsid w:val="00434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17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345"/>
  </w:style>
  <w:style w:type="paragraph" w:styleId="aa">
    <w:name w:val="footer"/>
    <w:basedOn w:val="a"/>
    <w:link w:val="ab"/>
    <w:uiPriority w:val="99"/>
    <w:unhideWhenUsed/>
    <w:rsid w:val="00FF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345"/>
  </w:style>
  <w:style w:type="character" w:customStyle="1" w:styleId="a4">
    <w:name w:val="Абзац списка Знак"/>
    <w:basedOn w:val="a0"/>
    <w:link w:val="a3"/>
    <w:uiPriority w:val="34"/>
    <w:locked/>
    <w:rsid w:val="00B1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D5E8-FB50-485F-94E8-0E03E6BC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</dc:creator>
  <cp:keywords/>
  <dc:description/>
  <cp:lastModifiedBy>User</cp:lastModifiedBy>
  <cp:revision>208</cp:revision>
  <cp:lastPrinted>2023-10-31T06:24:00Z</cp:lastPrinted>
  <dcterms:created xsi:type="dcterms:W3CDTF">2018-06-14T06:38:00Z</dcterms:created>
  <dcterms:modified xsi:type="dcterms:W3CDTF">2024-09-26T11:34:00Z</dcterms:modified>
</cp:coreProperties>
</file>